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1249" w:rsidRPr="000D3AC3" w:rsidRDefault="003804D5" w:rsidP="000D3AC3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D3AC3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ABE5" wp14:editId="2BF060A9">
                <wp:simplePos x="0" y="0"/>
                <wp:positionH relativeFrom="column">
                  <wp:posOffset>1423670</wp:posOffset>
                </wp:positionH>
                <wp:positionV relativeFrom="paragraph">
                  <wp:posOffset>-935355</wp:posOffset>
                </wp:positionV>
                <wp:extent cx="4195445" cy="929640"/>
                <wp:effectExtent l="0" t="0" r="14605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E6" w:rsidRPr="001D3BE6" w:rsidRDefault="001D3BE6" w:rsidP="001D3BE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3BE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廉政服務</w:t>
                            </w:r>
                            <w:r w:rsidR="007018E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雙</w:t>
                            </w:r>
                            <w:r w:rsidRPr="001D3BE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月刊</w:t>
                            </w:r>
                          </w:p>
                          <w:p w:rsidR="001D3BE6" w:rsidRDefault="001D3BE6" w:rsidP="001D3BE6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公平交易委員會政風室彙編             </w:t>
                            </w:r>
                            <w:r w:rsidRPr="0058450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107年5月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2.1pt;margin-top:-73.65pt;width:330.35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" strokecolor="white [3212]">
                <v:textbox>
                  <w:txbxContent>
                    <w:p w:rsidR="001D3BE6" w:rsidRPr="001D3BE6" w:rsidRDefault="001D3BE6" w:rsidP="001D3BE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D3BE6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廉政服務</w:t>
                      </w:r>
                      <w:r w:rsidR="007018E1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雙</w:t>
                      </w:r>
                      <w:bookmarkStart w:id="1" w:name="_GoBack"/>
                      <w:bookmarkEnd w:id="1"/>
                      <w:r w:rsidRPr="001D3BE6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  <w:szCs w:val="36"/>
                        </w:rPr>
                        <w:t>月刊</w:t>
                      </w:r>
                    </w:p>
                    <w:p w:rsidR="001D3BE6" w:rsidRDefault="001D3BE6" w:rsidP="001D3BE6">
                      <w:pPr>
                        <w:jc w:val="right"/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公平交易委員會政風室彙編             </w:t>
                      </w:r>
                      <w:r w:rsidRPr="0058450E">
                        <w:rPr>
                          <w:rFonts w:ascii="標楷體" w:eastAsia="標楷體" w:hAnsi="標楷體" w:hint="eastAsia"/>
                          <w:szCs w:val="24"/>
                        </w:rPr>
                        <w:t>107年5月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Pr="003804D5">
        <w:rPr>
          <w:rFonts w:ascii="標楷體" w:eastAsia="標楷體" w:hAnsi="標楷體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9CD6E" wp14:editId="70EAED11">
                <wp:simplePos x="0" y="0"/>
                <wp:positionH relativeFrom="column">
                  <wp:posOffset>105410</wp:posOffset>
                </wp:positionH>
                <wp:positionV relativeFrom="paragraph">
                  <wp:posOffset>-935355</wp:posOffset>
                </wp:positionV>
                <wp:extent cx="1597660" cy="929640"/>
                <wp:effectExtent l="0" t="0" r="21590" b="2286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D5" w:rsidRDefault="003804D5">
                            <w:r w:rsidRPr="003804D5">
                              <w:rPr>
                                <w:noProof/>
                              </w:rPr>
                              <w:drawing>
                                <wp:inline distT="0" distB="0" distL="0" distR="0" wp14:anchorId="05BEB47D" wp14:editId="001ECDDF">
                                  <wp:extent cx="1219200" cy="853440"/>
                                  <wp:effectExtent l="0" t="0" r="0" b="3810"/>
                                  <wp:docPr id="4" name="圖片 4" descr="http://newbbs.ftc.gov.tw/BBS/upload/3a8f8593-d758-457c-b966-19a4af61c31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newbbs.ftc.gov.tw/BBS/upload/3a8f8593-d758-457c-b966-19a4af61c31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3pt;margin-top:-73.65pt;width:125.8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" strokecolor="white [3212]">
                <v:textbox>
                  <w:txbxContent>
                    <w:p w:rsidR="003804D5" w:rsidRDefault="003804D5">
                      <w:r w:rsidRPr="003804D5">
                        <w:drawing>
                          <wp:inline distT="0" distB="0" distL="0" distR="0" wp14:anchorId="05BEB47D" wp14:editId="001ECDDF">
                            <wp:extent cx="1219200" cy="853440"/>
                            <wp:effectExtent l="0" t="0" r="0" b="3810"/>
                            <wp:docPr id="4" name="圖片 4" descr="http://newbbs.ftc.gov.tw/BBS/upload/3a8f8593-d758-457c-b966-19a4af61c31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newbbs.ftc.gov.tw/BBS/upload/3a8f8593-d758-457c-b966-19a4af61c31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3AC3" w:rsidRPr="000D3AC3">
        <w:rPr>
          <w:rFonts w:ascii="標楷體" w:eastAsia="標楷體" w:hAnsi="標楷體" w:hint="eastAsia"/>
          <w:b/>
          <w:color w:val="FF0000"/>
          <w:sz w:val="28"/>
          <w:szCs w:val="28"/>
        </w:rPr>
        <w:t>壹、</w:t>
      </w:r>
      <w:r w:rsidR="004D1249" w:rsidRPr="000D3AC3">
        <w:rPr>
          <w:rFonts w:ascii="標楷體" w:eastAsia="標楷體" w:hAnsi="標楷體" w:hint="eastAsia"/>
          <w:b/>
          <w:color w:val="FF0000"/>
          <w:sz w:val="28"/>
          <w:szCs w:val="28"/>
        </w:rPr>
        <w:t>廉政</w:t>
      </w:r>
      <w:r w:rsidR="009A7219">
        <w:rPr>
          <w:rFonts w:ascii="標楷體" w:eastAsia="標楷體" w:hAnsi="標楷體" w:hint="eastAsia"/>
          <w:b/>
          <w:color w:val="FF0000"/>
          <w:sz w:val="28"/>
          <w:szCs w:val="28"/>
        </w:rPr>
        <w:t>法令及</w:t>
      </w:r>
      <w:r w:rsidR="009A7219" w:rsidRPr="000D3AC3">
        <w:rPr>
          <w:rFonts w:ascii="標楷體" w:eastAsia="標楷體" w:hAnsi="標楷體" w:hint="eastAsia"/>
          <w:b/>
          <w:color w:val="FF0000"/>
          <w:sz w:val="28"/>
          <w:szCs w:val="28"/>
        </w:rPr>
        <w:t>活動</w:t>
      </w:r>
      <w:r w:rsidR="004D1249" w:rsidRPr="000D3AC3">
        <w:rPr>
          <w:rFonts w:ascii="標楷體" w:eastAsia="標楷體" w:hAnsi="標楷體" w:hint="eastAsia"/>
          <w:b/>
          <w:color w:val="FF0000"/>
          <w:sz w:val="28"/>
          <w:szCs w:val="28"/>
        </w:rPr>
        <w:t>訊息</w:t>
      </w:r>
    </w:p>
    <w:p w:rsidR="00BF5C1E" w:rsidRPr="000D3AC3" w:rsidRDefault="00BF5C1E" w:rsidP="00783006">
      <w:pPr>
        <w:spacing w:line="360" w:lineRule="exact"/>
        <w:ind w:left="561" w:hangingChars="200" w:hanging="561"/>
        <w:jc w:val="both"/>
        <w:rPr>
          <w:rFonts w:ascii="標楷體" w:eastAsia="標楷體" w:hAnsi="標楷體"/>
          <w:b/>
          <w:color w:val="0066FF"/>
          <w:sz w:val="28"/>
          <w:szCs w:val="28"/>
        </w:rPr>
      </w:pPr>
      <w:r w:rsidRPr="000D3AC3">
        <w:rPr>
          <w:rFonts w:ascii="標楷體" w:eastAsia="標楷體" w:hAnsi="標楷體" w:hint="eastAsia"/>
          <w:b/>
          <w:color w:val="0066FF"/>
          <w:sz w:val="28"/>
          <w:szCs w:val="28"/>
        </w:rPr>
        <w:t>一、廉政走出</w:t>
      </w:r>
      <w:proofErr w:type="gramStart"/>
      <w:r w:rsidRPr="000D3AC3">
        <w:rPr>
          <w:rFonts w:ascii="標楷體" w:eastAsia="標楷體" w:hAnsi="標楷體" w:hint="eastAsia"/>
          <w:b/>
          <w:color w:val="0066FF"/>
          <w:sz w:val="28"/>
          <w:szCs w:val="28"/>
        </w:rPr>
        <w:t>去用廉政</w:t>
      </w:r>
      <w:proofErr w:type="gramEnd"/>
      <w:r w:rsidRPr="000D3AC3">
        <w:rPr>
          <w:rFonts w:ascii="標楷體" w:eastAsia="標楷體" w:hAnsi="標楷體" w:hint="eastAsia"/>
          <w:b/>
          <w:color w:val="0066FF"/>
          <w:sz w:val="28"/>
          <w:szCs w:val="28"/>
        </w:rPr>
        <w:t>交朋友! 廉</w:t>
      </w:r>
      <w:proofErr w:type="gramStart"/>
      <w:r w:rsidRPr="000D3AC3">
        <w:rPr>
          <w:rFonts w:ascii="標楷體" w:eastAsia="標楷體" w:hAnsi="標楷體" w:hint="eastAsia"/>
          <w:b/>
          <w:color w:val="0066FF"/>
          <w:sz w:val="28"/>
          <w:szCs w:val="28"/>
        </w:rPr>
        <w:t>政署邀中美洲</w:t>
      </w:r>
      <w:proofErr w:type="gramEnd"/>
      <w:r w:rsidRPr="000D3AC3">
        <w:rPr>
          <w:rFonts w:ascii="標楷體" w:eastAsia="標楷體" w:hAnsi="標楷體" w:hint="eastAsia"/>
          <w:b/>
          <w:color w:val="0066FF"/>
          <w:sz w:val="28"/>
          <w:szCs w:val="28"/>
        </w:rPr>
        <w:t xml:space="preserve"> 5 邦交國</w:t>
      </w:r>
      <w:proofErr w:type="gramStart"/>
      <w:r w:rsidRPr="000D3AC3">
        <w:rPr>
          <w:rFonts w:ascii="標楷體" w:eastAsia="標楷體" w:hAnsi="標楷體" w:hint="eastAsia"/>
          <w:b/>
          <w:color w:val="0066FF"/>
          <w:sz w:val="28"/>
          <w:szCs w:val="28"/>
        </w:rPr>
        <w:t>來台廉政</w:t>
      </w:r>
      <w:proofErr w:type="gramEnd"/>
      <w:r w:rsidRPr="000D3AC3">
        <w:rPr>
          <w:rFonts w:ascii="標楷體" w:eastAsia="標楷體" w:hAnsi="標楷體" w:hint="eastAsia"/>
          <w:b/>
          <w:color w:val="0066FF"/>
          <w:sz w:val="28"/>
          <w:szCs w:val="28"/>
        </w:rPr>
        <w:t>交流</w:t>
      </w:r>
    </w:p>
    <w:p w:rsidR="00BF5C1E" w:rsidRDefault="00783006" w:rsidP="00783006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F5C1E" w:rsidRPr="00BF5C1E">
        <w:rPr>
          <w:rFonts w:ascii="標楷體" w:eastAsia="標楷體" w:hAnsi="標楷體" w:hint="eastAsia"/>
          <w:sz w:val="28"/>
          <w:szCs w:val="28"/>
        </w:rPr>
        <w:t>為落實聯合國反貪腐公約加強國際合作要求，實踐法務部與他國共同簽署以國家為締約主體合作協定的施政重點，廉政署於 107 年 4 月 23 日至27 日，透過外交部邀請中美洲邦交國</w:t>
      </w:r>
      <w:r w:rsidR="009A7219" w:rsidRPr="00BF5C1E">
        <w:rPr>
          <w:rFonts w:ascii="標楷體" w:eastAsia="標楷體" w:hAnsi="標楷體" w:hint="eastAsia"/>
          <w:sz w:val="28"/>
          <w:szCs w:val="28"/>
        </w:rPr>
        <w:t>瓜地馬拉</w:t>
      </w:r>
      <w:r w:rsidR="009A7219">
        <w:rPr>
          <w:rFonts w:ascii="標楷體" w:eastAsia="標楷體" w:hAnsi="標楷體" w:hint="eastAsia"/>
          <w:sz w:val="28"/>
          <w:szCs w:val="28"/>
        </w:rPr>
        <w:t>、</w:t>
      </w:r>
      <w:r w:rsidR="009A7219" w:rsidRPr="00BF5C1E">
        <w:rPr>
          <w:rFonts w:ascii="標楷體" w:eastAsia="標楷體" w:hAnsi="標楷體" w:hint="eastAsia"/>
          <w:sz w:val="28"/>
          <w:szCs w:val="28"/>
        </w:rPr>
        <w:t>貝里斯</w:t>
      </w:r>
      <w:r w:rsidR="009A7219">
        <w:rPr>
          <w:rFonts w:ascii="標楷體" w:eastAsia="標楷體" w:hAnsi="標楷體" w:hint="eastAsia"/>
          <w:sz w:val="28"/>
          <w:szCs w:val="28"/>
        </w:rPr>
        <w:t>、</w:t>
      </w:r>
      <w:r w:rsidR="009A7219" w:rsidRPr="00BF5C1E">
        <w:rPr>
          <w:rFonts w:ascii="標楷體" w:eastAsia="標楷體" w:hAnsi="標楷體" w:hint="eastAsia"/>
          <w:sz w:val="28"/>
          <w:szCs w:val="28"/>
        </w:rPr>
        <w:t>尼加拉瓜</w:t>
      </w:r>
      <w:r w:rsidR="009A7219">
        <w:rPr>
          <w:rFonts w:ascii="標楷體" w:eastAsia="標楷體" w:hAnsi="標楷體" w:hint="eastAsia"/>
          <w:sz w:val="28"/>
          <w:szCs w:val="28"/>
        </w:rPr>
        <w:t>、</w:t>
      </w:r>
      <w:r w:rsidR="009A7219" w:rsidRPr="00BF5C1E">
        <w:rPr>
          <w:rFonts w:ascii="標楷體" w:eastAsia="標楷體" w:hAnsi="標楷體" w:hint="eastAsia"/>
          <w:sz w:val="28"/>
          <w:szCs w:val="28"/>
        </w:rPr>
        <w:t>宏都拉斯</w:t>
      </w:r>
      <w:r w:rsidR="009A7219">
        <w:rPr>
          <w:rFonts w:ascii="標楷體" w:eastAsia="標楷體" w:hAnsi="標楷體" w:hint="eastAsia"/>
          <w:sz w:val="28"/>
          <w:szCs w:val="28"/>
        </w:rPr>
        <w:t>、</w:t>
      </w:r>
      <w:r w:rsidR="009A7219" w:rsidRPr="00BF5C1E">
        <w:rPr>
          <w:rFonts w:ascii="標楷體" w:eastAsia="標楷體" w:hAnsi="標楷體" w:hint="eastAsia"/>
          <w:sz w:val="28"/>
          <w:szCs w:val="28"/>
        </w:rPr>
        <w:t>多明尼加</w:t>
      </w:r>
      <w:r w:rsidR="002B4D84">
        <w:rPr>
          <w:rFonts w:ascii="標楷體" w:eastAsia="標楷體" w:hAnsi="標楷體" w:hint="eastAsia"/>
          <w:sz w:val="28"/>
          <w:szCs w:val="28"/>
        </w:rPr>
        <w:t>及</w:t>
      </w:r>
      <w:r w:rsidR="002B4D84" w:rsidRPr="00BF5C1E">
        <w:rPr>
          <w:rFonts w:ascii="標楷體" w:eastAsia="標楷體" w:hAnsi="標楷體" w:hint="eastAsia"/>
          <w:sz w:val="28"/>
          <w:szCs w:val="28"/>
        </w:rPr>
        <w:t>瓜地馬拉</w:t>
      </w:r>
      <w:r w:rsidR="002B4D84">
        <w:rPr>
          <w:rFonts w:ascii="標楷體" w:eastAsia="標楷體" w:hAnsi="標楷體" w:hint="eastAsia"/>
          <w:sz w:val="28"/>
          <w:szCs w:val="28"/>
        </w:rPr>
        <w:t>等6</w:t>
      </w:r>
      <w:proofErr w:type="gramStart"/>
      <w:r w:rsidR="002B4D84">
        <w:rPr>
          <w:rFonts w:ascii="標楷體" w:eastAsia="標楷體" w:hAnsi="標楷體" w:hint="eastAsia"/>
          <w:sz w:val="28"/>
          <w:szCs w:val="28"/>
        </w:rPr>
        <w:t>國</w:t>
      </w:r>
      <w:r w:rsidR="00BF5C1E" w:rsidRPr="00BF5C1E">
        <w:rPr>
          <w:rFonts w:ascii="標楷體" w:eastAsia="標楷體" w:hAnsi="標楷體" w:hint="eastAsia"/>
          <w:sz w:val="28"/>
          <w:szCs w:val="28"/>
        </w:rPr>
        <w:t>廉政</w:t>
      </w:r>
      <w:proofErr w:type="gramEnd"/>
      <w:r w:rsidR="00BF5C1E" w:rsidRPr="00BF5C1E">
        <w:rPr>
          <w:rFonts w:ascii="標楷體" w:eastAsia="標楷體" w:hAnsi="標楷體" w:hint="eastAsia"/>
          <w:sz w:val="28"/>
          <w:szCs w:val="28"/>
        </w:rPr>
        <w:t>業務機關首長訪</w:t>
      </w:r>
      <w:proofErr w:type="gramStart"/>
      <w:r w:rsidR="00BF5C1E" w:rsidRPr="00BF5C1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F5C1E" w:rsidRPr="00BF5C1E">
        <w:rPr>
          <w:rFonts w:ascii="標楷體" w:eastAsia="標楷體" w:hAnsi="標楷體" w:hint="eastAsia"/>
          <w:sz w:val="28"/>
          <w:szCs w:val="28"/>
        </w:rPr>
        <w:t>，這是我國與邦交國首次以廉政措施為題進行交流，廉政署除以研討會與來訪友邦代表分享我國廉政法制外，並與臺北市政府、</w:t>
      </w:r>
      <w:proofErr w:type="gramStart"/>
      <w:r w:rsidR="00BF5C1E" w:rsidRPr="00BF5C1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F5C1E" w:rsidRPr="00BF5C1E">
        <w:rPr>
          <w:rFonts w:ascii="標楷體" w:eastAsia="標楷體" w:hAnsi="標楷體" w:hint="eastAsia"/>
          <w:sz w:val="28"/>
          <w:szCs w:val="28"/>
        </w:rPr>
        <w:t>南市政府及財政部關務署合作，將我國重要廉政透明化措施向友邦代表介紹，爭取未來相互合作交流機會。</w:t>
      </w:r>
    </w:p>
    <w:p w:rsidR="00BF5C1E" w:rsidRDefault="00783006" w:rsidP="002B4D84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4D84">
        <w:rPr>
          <w:rFonts w:ascii="標楷體" w:eastAsia="標楷體" w:hAnsi="標楷體" w:hint="eastAsia"/>
          <w:sz w:val="28"/>
          <w:szCs w:val="28"/>
        </w:rPr>
        <w:t>本次交流活動</w:t>
      </w:r>
      <w:r w:rsidR="00BF5C1E" w:rsidRPr="00BF5C1E">
        <w:rPr>
          <w:rFonts w:ascii="標楷體" w:eastAsia="標楷體" w:hAnsi="標楷體" w:hint="eastAsia"/>
          <w:sz w:val="28"/>
          <w:szCs w:val="28"/>
        </w:rPr>
        <w:t>廉政署以我國廉政舉措與中美洲邦交國交朋友，企盼雙方未來能於廉政領域簽署合作協定，建立夥伴關係，在「人員互訪」、「</w:t>
      </w:r>
      <w:proofErr w:type="gramStart"/>
      <w:r w:rsidR="00BF5C1E" w:rsidRPr="00BF5C1E">
        <w:rPr>
          <w:rFonts w:ascii="標楷體" w:eastAsia="標楷體" w:hAnsi="標楷體" w:hint="eastAsia"/>
          <w:sz w:val="28"/>
          <w:szCs w:val="28"/>
        </w:rPr>
        <w:t>執法情資分享</w:t>
      </w:r>
      <w:proofErr w:type="gramEnd"/>
      <w:r w:rsidR="00BF5C1E" w:rsidRPr="00BF5C1E">
        <w:rPr>
          <w:rFonts w:ascii="標楷體" w:eastAsia="標楷體" w:hAnsi="標楷體" w:hint="eastAsia"/>
          <w:sz w:val="28"/>
          <w:szCs w:val="28"/>
        </w:rPr>
        <w:t>與交換」、「反貪腐工作觀摩學習」或「專業技能訓練與技術協助」…等方面加強交流，分享彼此的實務經驗，增進相互間法制之瞭解與交融，在彼此的合作下，強化雙方在廉政工作的成效，提升國際廉潔評比對雙方國家的評價，更加深化雙方之間的情誼!</w:t>
      </w:r>
    </w:p>
    <w:p w:rsidR="00783006" w:rsidRPr="00BF5C1E" w:rsidRDefault="00783006" w:rsidP="00783006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BF5C1E" w:rsidRPr="000D3AC3" w:rsidRDefault="00783006" w:rsidP="000D3AC3">
      <w:pPr>
        <w:spacing w:line="360" w:lineRule="exact"/>
        <w:ind w:left="561" w:hangingChars="200" w:hanging="561"/>
        <w:jc w:val="both"/>
        <w:rPr>
          <w:rFonts w:ascii="標楷體" w:eastAsia="標楷體" w:hAnsi="標楷體"/>
          <w:b/>
          <w:color w:val="0066FF"/>
          <w:sz w:val="28"/>
          <w:szCs w:val="28"/>
        </w:rPr>
      </w:pPr>
      <w:r w:rsidRPr="000D3AC3">
        <w:rPr>
          <w:rFonts w:ascii="標楷體" w:eastAsia="標楷體" w:hAnsi="標楷體" w:hint="eastAsia"/>
          <w:b/>
          <w:color w:val="0066FF"/>
          <w:sz w:val="28"/>
          <w:szCs w:val="28"/>
        </w:rPr>
        <w:t>二、公布「聯合國反貪腐公約首次國家報告」，並將舉辦國際審查會議，與世界各國共同預防及打擊貪腐</w:t>
      </w:r>
    </w:p>
    <w:p w:rsidR="00783006" w:rsidRDefault="000D3AC3" w:rsidP="00783006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783006" w:rsidRPr="00783006">
        <w:rPr>
          <w:rFonts w:ascii="標楷體" w:eastAsia="標楷體" w:hAnsi="標楷體" w:hint="eastAsia"/>
          <w:sz w:val="28"/>
          <w:szCs w:val="28"/>
        </w:rPr>
        <w:t>我國已完成「聯合國反貪腐公約首次國家報告」，距離105年9月7日公布《聯合國反貪腐公約》，歷時1年餘，結合行政院、司法院、考試院、監察院及其所屬共計27個機關，全盤檢討我國落實《聯合國反貪腐公約》之現況，經過21場次的國內審查及定稿會議，順利完成首次國家報告，於</w:t>
      </w:r>
      <w:r w:rsidR="00783006">
        <w:rPr>
          <w:rFonts w:ascii="標楷體" w:eastAsia="標楷體" w:hAnsi="標楷體" w:hint="eastAsia"/>
          <w:sz w:val="28"/>
          <w:szCs w:val="28"/>
        </w:rPr>
        <w:t>107年3月30日</w:t>
      </w:r>
      <w:r w:rsidR="00783006" w:rsidRPr="00783006">
        <w:rPr>
          <w:rFonts w:ascii="標楷體" w:eastAsia="標楷體" w:hAnsi="標楷體" w:hint="eastAsia"/>
          <w:sz w:val="28"/>
          <w:szCs w:val="28"/>
        </w:rPr>
        <w:t>日發布說明報告內容。</w:t>
      </w:r>
    </w:p>
    <w:p w:rsidR="00783006" w:rsidRDefault="000D3AC3" w:rsidP="00783006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83006" w:rsidRPr="00783006">
        <w:rPr>
          <w:rFonts w:ascii="標楷體" w:eastAsia="標楷體" w:hAnsi="標楷體" w:hint="eastAsia"/>
          <w:sz w:val="28"/>
          <w:szCs w:val="28"/>
        </w:rPr>
        <w:t>《聯合國反貪腐公約》就締約國(方)實施公約情況之審查機制，係</w:t>
      </w:r>
      <w:proofErr w:type="gramStart"/>
      <w:r w:rsidR="00783006" w:rsidRPr="0078300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83006" w:rsidRPr="00783006">
        <w:rPr>
          <w:rFonts w:ascii="標楷體" w:eastAsia="標楷體" w:hAnsi="標楷體" w:hint="eastAsia"/>
          <w:sz w:val="28"/>
          <w:szCs w:val="28"/>
        </w:rPr>
        <w:t xml:space="preserve">2階段方式進行，第1階段自2010年至2015年審查公約第3及4章，第2階段自2015年至2020年審查公約第2及5章，目前183個締約國(方)中，完成第1階段審查計有162個，完成第2階段審查者僅4個；為能與國際同步，邀請國際專家以國際標準加以檢視，邀請包含國際透明組織前主席 José </w:t>
      </w:r>
      <w:proofErr w:type="spellStart"/>
      <w:r w:rsidR="00783006" w:rsidRPr="00783006">
        <w:rPr>
          <w:rFonts w:ascii="標楷體" w:eastAsia="標楷體" w:hAnsi="標楷體" w:hint="eastAsia"/>
          <w:sz w:val="28"/>
          <w:szCs w:val="28"/>
        </w:rPr>
        <w:t>Ugaz</w:t>
      </w:r>
      <w:proofErr w:type="spellEnd"/>
      <w:r w:rsidR="00783006" w:rsidRPr="00783006">
        <w:rPr>
          <w:rFonts w:ascii="標楷體" w:eastAsia="標楷體" w:hAnsi="標楷體" w:hint="eastAsia"/>
          <w:sz w:val="28"/>
          <w:szCs w:val="28"/>
        </w:rPr>
        <w:t>在內之5名國際反貪腐領域專家，於本(107)年8月21日至24日來</w:t>
      </w:r>
      <w:proofErr w:type="gramStart"/>
      <w:r w:rsidR="00783006" w:rsidRPr="0078300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83006" w:rsidRPr="00783006">
        <w:rPr>
          <w:rFonts w:ascii="標楷體" w:eastAsia="標楷體" w:hAnsi="標楷體" w:hint="eastAsia"/>
          <w:sz w:val="28"/>
          <w:szCs w:val="28"/>
        </w:rPr>
        <w:t>審查國家報告。我國一次性檢討《聯合國反貪腐公約》全部條文並將進行國際審查，可謂國際首創，展現出我國致力於反貪腐工作的努力及決心，並歡迎民間團體提出平行報告，向國際審查委員表達平行意見或建議。</w:t>
      </w:r>
    </w:p>
    <w:p w:rsidR="00783006" w:rsidRPr="00783006" w:rsidRDefault="00783006" w:rsidP="00783006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4D1249" w:rsidRPr="00255400" w:rsidRDefault="000D3AC3" w:rsidP="000D3AC3">
      <w:pPr>
        <w:spacing w:line="36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255400">
        <w:rPr>
          <w:rFonts w:ascii="標楷體" w:eastAsia="標楷體" w:hAnsi="標楷體" w:hint="eastAsia"/>
          <w:b/>
          <w:color w:val="FF0000"/>
          <w:sz w:val="28"/>
          <w:szCs w:val="28"/>
        </w:rPr>
        <w:t>貳、</w:t>
      </w:r>
      <w:r w:rsidR="004D1249" w:rsidRPr="00255400">
        <w:rPr>
          <w:rFonts w:ascii="標楷體" w:eastAsia="標楷體" w:hAnsi="標楷體" w:hint="eastAsia"/>
          <w:b/>
          <w:color w:val="FF0000"/>
          <w:sz w:val="28"/>
          <w:szCs w:val="28"/>
        </w:rPr>
        <w:t>廉政貪瀆案例</w:t>
      </w:r>
    </w:p>
    <w:p w:rsidR="000D3AC3" w:rsidRPr="00255400" w:rsidRDefault="00255400" w:rsidP="00255400">
      <w:pPr>
        <w:spacing w:line="360" w:lineRule="exact"/>
        <w:ind w:left="561" w:hangingChars="200" w:hanging="561"/>
        <w:jc w:val="both"/>
        <w:rPr>
          <w:rFonts w:ascii="標楷體" w:eastAsia="標楷體" w:hAnsi="標楷體"/>
          <w:b/>
          <w:color w:val="0066FF"/>
          <w:sz w:val="28"/>
          <w:szCs w:val="28"/>
        </w:rPr>
      </w:pPr>
      <w:r w:rsidRPr="00255400">
        <w:rPr>
          <w:rFonts w:ascii="標楷體" w:eastAsia="標楷體" w:hAnsi="標楷體" w:hint="eastAsia"/>
          <w:b/>
          <w:color w:val="0066FF"/>
          <w:sz w:val="28"/>
          <w:szCs w:val="28"/>
        </w:rPr>
        <w:t>一、嘉義縣社會局陳○○、鄭○○涉嫌侵占公有財物案件，業經臺灣嘉義地方法院判決有罪。</w:t>
      </w:r>
    </w:p>
    <w:p w:rsidR="00255400" w:rsidRPr="00255400" w:rsidRDefault="00255400" w:rsidP="00255400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陳○○於民國100年間，為嘉義縣社會局勞工行政科業務督導員，</w:t>
      </w:r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負責勞工職業訓練工作；鄭○○於100年間，為嘉義縣社會局勞資關係科約用人員，負責外勞諮詢業務。其二人於100年9月間承辦「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100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年度勞工安全衛生在地扎根計畫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─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勞工健康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系列活動-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公安體感訓練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」活動（下稱「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勞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安活動」）及「外勞政策管理觀摩活動」計畫（下稱「觀摩活動」），並簽准以預借現金方式，支付活動所需。陳○○、鄭○○將上開兩個活動合併辦理，其等將本應排定訓練之時數以安排參觀博物館及至購物中心權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充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詎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其二人竟共同基於意圖為自己不法所有、行使偽造私文書及使公務員登載不實之犯意聯絡，各自持來源不明之小吃店、商行、講師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費簽領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收據等不實支出憑證予不知情之承辦公務員辦理經費核銷轉正，使承辦公務員將此等不實支出憑證登載於職務上所掌之傳票上，並據以核銷經費，足生損害於勞動部、嘉義縣政府公庫及嘉義縣政府社會局管理、審核活動經費使用之正確性，以此方式共同侵占結餘經費新臺幣11萬7,781元。</w:t>
      </w:r>
    </w:p>
    <w:p w:rsidR="000D3AC3" w:rsidRPr="00255400" w:rsidRDefault="00255400" w:rsidP="00255400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全案經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該</w:t>
      </w:r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署調查後，移送臺灣嘉義地方法院檢察署偵查起訴，以其二人共同涉犯貪污治罪條例第4條第1項第1款之侵占公有財物罪，分別處陳○○有期徒刑伍年貳月，褫奪公權參年，未扣案之犯罪所得伍萬伍仟玖佰貳拾柒元沒收；鄭○○處有期徒刑伍年肆月，褫奪公權參年，未扣案之犯罪所得陸萬壹仟捌佰伍拾肆元沒收。</w:t>
      </w:r>
    </w:p>
    <w:p w:rsidR="000D3AC3" w:rsidRDefault="000D3AC3" w:rsidP="000D3AC3">
      <w:pPr>
        <w:spacing w:line="3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:rsidR="00255400" w:rsidRPr="00255400" w:rsidRDefault="00255400" w:rsidP="00255400">
      <w:pPr>
        <w:spacing w:line="360" w:lineRule="exact"/>
        <w:ind w:left="561" w:hangingChars="200" w:hanging="561"/>
        <w:jc w:val="both"/>
        <w:rPr>
          <w:rFonts w:ascii="標楷體" w:eastAsia="標楷體" w:hAnsi="標楷體"/>
          <w:b/>
          <w:color w:val="0066FF"/>
          <w:sz w:val="28"/>
          <w:szCs w:val="28"/>
        </w:rPr>
      </w:pPr>
      <w:r w:rsidRPr="00255400">
        <w:rPr>
          <w:rFonts w:ascii="標楷體" w:eastAsia="標楷體" w:hAnsi="標楷體" w:hint="eastAsia"/>
          <w:b/>
          <w:color w:val="0066FF"/>
          <w:sz w:val="28"/>
          <w:szCs w:val="28"/>
        </w:rPr>
        <w:lastRenderedPageBreak/>
        <w:t>二、「高雄市桃源區公所</w:t>
      </w:r>
      <w:proofErr w:type="gramStart"/>
      <w:r w:rsidRPr="00255400">
        <w:rPr>
          <w:rFonts w:ascii="標楷體" w:eastAsia="標楷體" w:hAnsi="標楷體" w:hint="eastAsia"/>
          <w:b/>
          <w:color w:val="0066FF"/>
          <w:sz w:val="28"/>
          <w:szCs w:val="28"/>
        </w:rPr>
        <w:t>農觀課</w:t>
      </w:r>
      <w:proofErr w:type="gramEnd"/>
      <w:r w:rsidRPr="00255400">
        <w:rPr>
          <w:rFonts w:ascii="標楷體" w:eastAsia="標楷體" w:hAnsi="標楷體" w:hint="eastAsia"/>
          <w:b/>
          <w:color w:val="0066FF"/>
          <w:sz w:val="28"/>
          <w:szCs w:val="28"/>
        </w:rPr>
        <w:t>人員高○○及曾○○涉嫌圖利案」，業經臺灣橋頭地方法院判決有罪。</w:t>
      </w:r>
    </w:p>
    <w:p w:rsidR="00255400" w:rsidRPr="00255400" w:rsidRDefault="00255400" w:rsidP="00255400">
      <w:pPr>
        <w:spacing w:line="3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高○○自民國104年1月起擔任高雄市桃源區公所（下稱桃源區公所）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農觀課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課長，而曾○○則於104年4月至同年12月期間擔任高雄市桃源區公所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農觀課約僱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人員，承辦該區原住民保留地林產物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運許可業務。渠等均明知所轄之甲地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為國私共有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之原住民保留地，依原住民保留地開發管理辦法等相關規定，須經專案核准，始得處分其林產物，竟基於圖利謝○○、吳○宇、吳○銘等3人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盜賣國私共有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林木及偽造文書之犯意聯絡，任由吳○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宇於104年6月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間，以相鄰且屬私有原住民保留地之乙地名義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提出伐運申請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，復指示吳○宇將甲地林木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挪移至乙地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內，高○○及曾○○再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配合至乙地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現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勘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，且虛偽登載內容不實之實地勘查報告，並核發同意該地伐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之函文，經吳○宇將函文轉交吳○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銘後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，吳○銘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即持函於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同年10月間運送上開林木順利通過轄區員警攔查，售予不知情民眾，因而獲得40萬元之不法利益。</w:t>
      </w:r>
    </w:p>
    <w:p w:rsidR="00255400" w:rsidRPr="00255400" w:rsidRDefault="00255400" w:rsidP="00255400">
      <w:pPr>
        <w:spacing w:line="36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案經臺灣橋頭地方法院審理終結，以高○○及曾○○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共同犯對主管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事務圖利罪，分別處有期徒刑伍年陸月及有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期徒期伍年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，均褫奪公權壹年。吳○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銘犯竊盜罪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，處有期徒刑拾月；謝○○犯竊盜罪，處有期徒刑陸月，如易科罰金，以新臺幣壹仟元折算壹日。吳○</w:t>
      </w:r>
      <w:proofErr w:type="gramStart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宇犯竊盜罪</w:t>
      </w:r>
      <w:proofErr w:type="gramEnd"/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t>，處有期徒刑肆月，如易科罰金，</w:t>
      </w:r>
      <w:r w:rsidRPr="0025540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以新臺幣壹仟元折算壹日。</w:t>
      </w:r>
    </w:p>
    <w:p w:rsidR="000D3AC3" w:rsidRPr="001D3BE6" w:rsidRDefault="000D3AC3" w:rsidP="00255400">
      <w:pPr>
        <w:pStyle w:val="a3"/>
        <w:spacing w:line="36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</w:p>
    <w:p w:rsidR="004D1249" w:rsidRPr="00322AB1" w:rsidRDefault="00255400" w:rsidP="00783006">
      <w:pPr>
        <w:spacing w:line="36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322AB1">
        <w:rPr>
          <w:rFonts w:ascii="標楷體" w:eastAsia="標楷體" w:hAnsi="標楷體" w:hint="eastAsia"/>
          <w:b/>
          <w:color w:val="FF0000"/>
          <w:sz w:val="28"/>
          <w:szCs w:val="28"/>
        </w:rPr>
        <w:t>參、</w:t>
      </w:r>
      <w:r w:rsidR="004D1249" w:rsidRPr="00322AB1">
        <w:rPr>
          <w:rFonts w:ascii="標楷體" w:eastAsia="標楷體" w:hAnsi="標楷體" w:hint="eastAsia"/>
          <w:b/>
          <w:color w:val="FF0000"/>
          <w:sz w:val="28"/>
          <w:szCs w:val="28"/>
        </w:rPr>
        <w:t>反詐騙及消費者保護資訊</w:t>
      </w:r>
    </w:p>
    <w:p w:rsidR="00AC325D" w:rsidRPr="00AC325D" w:rsidRDefault="00AC325D" w:rsidP="003C55C5">
      <w:pPr>
        <w:spacing w:line="360" w:lineRule="exact"/>
        <w:ind w:left="420" w:hangingChars="150" w:hanging="420"/>
        <w:jc w:val="both"/>
        <w:rPr>
          <w:rFonts w:ascii="標楷體" w:eastAsia="標楷體" w:hAnsi="標楷體"/>
          <w:b/>
          <w:color w:val="0066FF"/>
          <w:sz w:val="28"/>
          <w:szCs w:val="28"/>
        </w:rPr>
      </w:pPr>
      <w:r w:rsidRPr="00AC325D">
        <w:rPr>
          <w:rFonts w:ascii="標楷體" w:eastAsia="標楷體" w:hAnsi="標楷體" w:hint="eastAsia"/>
          <w:b/>
          <w:color w:val="0066FF"/>
          <w:sz w:val="28"/>
          <w:szCs w:val="28"/>
        </w:rPr>
        <w:t>一、瘋狂詐騙話術、高風險賣場out!! 留心防詐關鍵語in!!</w:t>
      </w:r>
    </w:p>
    <w:p w:rsidR="00AC325D" w:rsidRPr="00AC325D" w:rsidRDefault="00AC325D" w:rsidP="00AC325D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AC325D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AC325D">
        <w:rPr>
          <w:rFonts w:ascii="標楷體" w:eastAsia="標楷體" w:hAnsi="標楷體" w:hint="eastAsia"/>
          <w:sz w:val="28"/>
          <w:szCs w:val="28"/>
        </w:rPr>
        <w:t>名30歲賴姓男子，上週接到自稱「橙姑娘」客服中心來電(+8867-7883777)，表示渠先前在網站刷卡購買商品，因電腦系統錯誤多刷了</w:t>
      </w:r>
      <w:proofErr w:type="gramStart"/>
      <w:r w:rsidRPr="00AC325D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AC325D">
        <w:rPr>
          <w:rFonts w:ascii="標楷體" w:eastAsia="標楷體" w:hAnsi="標楷體" w:hint="eastAsia"/>
          <w:sz w:val="28"/>
          <w:szCs w:val="28"/>
        </w:rPr>
        <w:t>筆費用，將透過銀行認證手續辦理退費，要求賴先生按其指示至ATM操作，復賴先生前後遭詐騙轉帳5筆計新臺幣14萬元至對方指定帳戶，又以超商代碼繳費方式操作5筆計新臺幣19萬元，</w:t>
      </w:r>
      <w:proofErr w:type="gramStart"/>
      <w:r w:rsidRPr="00AC325D">
        <w:rPr>
          <w:rFonts w:ascii="標楷體" w:eastAsia="標楷體" w:hAnsi="標楷體" w:hint="eastAsia"/>
          <w:sz w:val="28"/>
          <w:szCs w:val="28"/>
        </w:rPr>
        <w:t>共遭詐騙</w:t>
      </w:r>
      <w:proofErr w:type="gramEnd"/>
      <w:r w:rsidRPr="00AC325D">
        <w:rPr>
          <w:rFonts w:ascii="標楷體" w:eastAsia="標楷體" w:hAnsi="標楷體" w:hint="eastAsia"/>
          <w:sz w:val="28"/>
          <w:szCs w:val="28"/>
        </w:rPr>
        <w:t>新臺幣近33萬元，才發現進而報案。</w:t>
      </w:r>
    </w:p>
    <w:p w:rsidR="00AC325D" w:rsidRPr="00AC325D" w:rsidRDefault="00AC325D" w:rsidP="00AC325D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AC325D">
        <w:rPr>
          <w:rFonts w:ascii="標楷體" w:eastAsia="標楷體" w:hAnsi="標楷體" w:hint="eastAsia"/>
          <w:sz w:val="28"/>
          <w:szCs w:val="28"/>
        </w:rPr>
        <w:t xml:space="preserve">　　詐騙集團冒用知名公司，以「工作人員操作錯誤、電腦系統錯誤，</w:t>
      </w:r>
      <w:proofErr w:type="gramStart"/>
      <w:r w:rsidRPr="00AC325D">
        <w:rPr>
          <w:rFonts w:ascii="標楷體" w:eastAsia="標楷體" w:hAnsi="標楷體" w:hint="eastAsia"/>
          <w:sz w:val="28"/>
          <w:szCs w:val="28"/>
        </w:rPr>
        <w:t>導致誤設訂單</w:t>
      </w:r>
      <w:proofErr w:type="gramEnd"/>
      <w:r w:rsidRPr="00AC325D">
        <w:rPr>
          <w:rFonts w:ascii="標楷體" w:eastAsia="標楷體" w:hAnsi="標楷體" w:hint="eastAsia"/>
          <w:sz w:val="28"/>
          <w:szCs w:val="28"/>
        </w:rPr>
        <w:t>，要求訂戶前往ATM解除分期設定或跨行存款」之詐騙手法，通常是歹徒駭入賣場掌握被害人</w:t>
      </w:r>
      <w:proofErr w:type="gramStart"/>
      <w:r w:rsidRPr="00AC325D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AC325D">
        <w:rPr>
          <w:rFonts w:ascii="標楷體" w:eastAsia="標楷體" w:hAnsi="標楷體" w:hint="eastAsia"/>
          <w:sz w:val="28"/>
          <w:szCs w:val="28"/>
        </w:rPr>
        <w:t>資後進行詐騙，要求民眾至自動提款機前按照指示操作，將錢轉進指定帳戶，提醒民眾多加留意，若接到來電顯示開頭為「+2」、「+886」等為詐騙電話，聽到關鍵字「解除ATM設定」、「</w:t>
      </w:r>
      <w:proofErr w:type="gramStart"/>
      <w:r w:rsidRPr="00AC325D">
        <w:rPr>
          <w:rFonts w:ascii="標楷體" w:eastAsia="標楷體" w:hAnsi="標楷體" w:hint="eastAsia"/>
          <w:sz w:val="28"/>
          <w:szCs w:val="28"/>
        </w:rPr>
        <w:t>誤刷條碼</w:t>
      </w:r>
      <w:proofErr w:type="gramEnd"/>
      <w:r w:rsidRPr="00AC325D">
        <w:rPr>
          <w:rFonts w:ascii="標楷體" w:eastAsia="標楷體" w:hAnsi="標楷體" w:hint="eastAsia"/>
          <w:sz w:val="28"/>
          <w:szCs w:val="28"/>
        </w:rPr>
        <w:t>」、「</w:t>
      </w:r>
      <w:proofErr w:type="gramStart"/>
      <w:r w:rsidRPr="00AC325D">
        <w:rPr>
          <w:rFonts w:ascii="標楷體" w:eastAsia="標楷體" w:hAnsi="標楷體" w:hint="eastAsia"/>
          <w:sz w:val="28"/>
          <w:szCs w:val="28"/>
        </w:rPr>
        <w:t>誤設訂單</w:t>
      </w:r>
      <w:proofErr w:type="gramEnd"/>
      <w:r w:rsidRPr="00AC325D">
        <w:rPr>
          <w:rFonts w:ascii="標楷體" w:eastAsia="標楷體" w:hAnsi="標楷體" w:hint="eastAsia"/>
          <w:sz w:val="28"/>
          <w:szCs w:val="28"/>
        </w:rPr>
        <w:t>」、「重複扣款」「至ATM操作資料整理」等關鍵字，加上近來亦更新詐騙話術「開啟網路購物的</w:t>
      </w:r>
      <w:proofErr w:type="gramStart"/>
      <w:r w:rsidRPr="00AC325D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AC325D">
        <w:rPr>
          <w:rFonts w:ascii="標楷體" w:eastAsia="標楷體" w:hAnsi="標楷體" w:hint="eastAsia"/>
          <w:sz w:val="28"/>
          <w:szCs w:val="28"/>
        </w:rPr>
        <w:t>資啟用權限」、「超商購My Card點數卡、比</w:t>
      </w:r>
      <w:proofErr w:type="gramStart"/>
      <w:r w:rsidRPr="00AC325D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AC325D">
        <w:rPr>
          <w:rFonts w:ascii="標楷體" w:eastAsia="標楷體" w:hAnsi="標楷體" w:hint="eastAsia"/>
          <w:sz w:val="28"/>
          <w:szCs w:val="28"/>
        </w:rPr>
        <w:t>幣」，請立即掛掉，這絕對是詐騙！</w:t>
      </w:r>
    </w:p>
    <w:p w:rsidR="004D1249" w:rsidRDefault="00AC325D" w:rsidP="00AC325D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AC325D">
        <w:rPr>
          <w:rFonts w:ascii="標楷體" w:eastAsia="標楷體" w:hAnsi="標楷體" w:hint="eastAsia"/>
          <w:sz w:val="28"/>
          <w:szCs w:val="28"/>
        </w:rPr>
        <w:t xml:space="preserve">　　提醒您，ATM沒有解除設定的功能，也沒有辨識身分的功能，同時呼籲購物網站等相關業者應加強防護措施外，保障消費者的交易安全，</w:t>
      </w:r>
      <w:r w:rsidRPr="00AC325D">
        <w:rPr>
          <w:rFonts w:ascii="標楷體" w:eastAsia="標楷體" w:hAnsi="標楷體" w:hint="eastAsia"/>
          <w:sz w:val="28"/>
          <w:szCs w:val="28"/>
        </w:rPr>
        <w:lastRenderedPageBreak/>
        <w:t>另鼓勵民眾下載「165反詐騙App」，掌握最新詐騙資訊，作為民眾防詐騙的守門員，並可參考App中每週公布之「民眾通報高風險賣場排名」，慎選優良購物平</w:t>
      </w:r>
      <w:proofErr w:type="gramStart"/>
      <w:r w:rsidRPr="00AC325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C325D">
        <w:rPr>
          <w:rFonts w:ascii="標楷體" w:eastAsia="標楷體" w:hAnsi="標楷體" w:hint="eastAsia"/>
          <w:sz w:val="28"/>
          <w:szCs w:val="28"/>
        </w:rPr>
        <w:t>進行網路購物，也可下載「</w:t>
      </w:r>
      <w:proofErr w:type="spellStart"/>
      <w:r w:rsidRPr="00AC325D">
        <w:rPr>
          <w:rFonts w:ascii="標楷體" w:eastAsia="標楷體" w:hAnsi="標楷體" w:hint="eastAsia"/>
          <w:sz w:val="28"/>
          <w:szCs w:val="28"/>
        </w:rPr>
        <w:t>Whoscall</w:t>
      </w:r>
      <w:proofErr w:type="spellEnd"/>
      <w:r w:rsidRPr="00AC325D">
        <w:rPr>
          <w:rFonts w:ascii="標楷體" w:eastAsia="標楷體" w:hAnsi="標楷體" w:hint="eastAsia"/>
          <w:sz w:val="28"/>
          <w:szCs w:val="28"/>
        </w:rPr>
        <w:t xml:space="preserve"> App</w:t>
      </w:r>
      <w:proofErr w:type="gramStart"/>
      <w:r w:rsidRPr="00AC325D">
        <w:rPr>
          <w:rFonts w:ascii="標楷體" w:eastAsia="標楷體" w:hAnsi="標楷體" w:hint="eastAsia"/>
          <w:sz w:val="28"/>
          <w:szCs w:val="28"/>
        </w:rPr>
        <w:t>（象</w:t>
      </w:r>
      <w:proofErr w:type="gramEnd"/>
      <w:r w:rsidRPr="00AC325D">
        <w:rPr>
          <w:rFonts w:ascii="標楷體" w:eastAsia="標楷體" w:hAnsi="標楷體" w:hint="eastAsia"/>
          <w:sz w:val="28"/>
          <w:szCs w:val="28"/>
        </w:rPr>
        <w:t>卡來)」過濾不明來電，避免因接獲詐騙集團電話而落入詐騙陷阱。</w:t>
      </w:r>
    </w:p>
    <w:p w:rsidR="00AC325D" w:rsidRDefault="00AC325D" w:rsidP="00AC325D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C17C71" w:rsidRPr="00C17C71" w:rsidRDefault="00AC325D" w:rsidP="00AC2B35">
      <w:pPr>
        <w:spacing w:line="360" w:lineRule="exact"/>
        <w:ind w:left="561" w:hangingChars="200" w:hanging="561"/>
        <w:jc w:val="both"/>
        <w:rPr>
          <w:rFonts w:ascii="標楷體" w:eastAsia="標楷體" w:hAnsi="標楷體"/>
          <w:b/>
          <w:color w:val="0066FF"/>
          <w:sz w:val="28"/>
          <w:szCs w:val="28"/>
        </w:rPr>
      </w:pPr>
      <w:r w:rsidRPr="00C17C71">
        <w:rPr>
          <w:rFonts w:ascii="標楷體" w:eastAsia="標楷體" w:hAnsi="標楷體" w:hint="eastAsia"/>
          <w:b/>
          <w:color w:val="0066FF"/>
          <w:sz w:val="28"/>
          <w:szCs w:val="28"/>
        </w:rPr>
        <w:t>二、</w:t>
      </w:r>
      <w:r w:rsidR="00C17C71" w:rsidRPr="00C17C71">
        <w:rPr>
          <w:rFonts w:ascii="標楷體" w:eastAsia="標楷體" w:hAnsi="標楷體" w:hint="eastAsia"/>
          <w:b/>
          <w:color w:val="0066FF"/>
          <w:sz w:val="28"/>
          <w:szCs w:val="28"/>
        </w:rPr>
        <w:t>網購境外商品</w:t>
      </w:r>
      <w:proofErr w:type="gramStart"/>
      <w:r w:rsidR="00C17C71" w:rsidRPr="00C17C71">
        <w:rPr>
          <w:rFonts w:ascii="標楷體" w:eastAsia="標楷體" w:hAnsi="標楷體" w:hint="eastAsia"/>
          <w:b/>
          <w:color w:val="0066FF"/>
          <w:sz w:val="28"/>
          <w:szCs w:val="28"/>
        </w:rPr>
        <w:t>慎選賣家</w:t>
      </w:r>
      <w:proofErr w:type="gramEnd"/>
      <w:r w:rsidR="00C17C71" w:rsidRPr="00C17C71">
        <w:rPr>
          <w:rFonts w:ascii="標楷體" w:eastAsia="標楷體" w:hAnsi="標楷體" w:hint="eastAsia"/>
          <w:b/>
          <w:color w:val="0066FF"/>
          <w:sz w:val="28"/>
          <w:szCs w:val="28"/>
        </w:rPr>
        <w:t>，發生爭議及時處理</w:t>
      </w:r>
    </w:p>
    <w:p w:rsidR="00C17C71" w:rsidRPr="00C17C71" w:rsidRDefault="00C17C71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17C71">
        <w:rPr>
          <w:rFonts w:ascii="標楷體" w:eastAsia="標楷體" w:hAnsi="標楷體" w:hint="eastAsia"/>
          <w:sz w:val="28"/>
          <w:szCs w:val="28"/>
        </w:rPr>
        <w:t>為處理消費者以「貨到付款」方式網購境外商品而衍生的消費爭議，行政院消費者保護處（下稱行政院消保處）指派消保官會同公路總局，至國內4大業者實地查核29件託運單，業者均落實「運輸業管理規則」第118條規定，正確記載託運人相關資料，並協助消費者處理相關爭議。</w:t>
      </w:r>
    </w:p>
    <w:p w:rsidR="00AC325D" w:rsidRDefault="00C17C71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17C71">
        <w:rPr>
          <w:rFonts w:ascii="標楷體" w:eastAsia="標楷體" w:hAnsi="標楷體" w:hint="eastAsia"/>
          <w:sz w:val="28"/>
          <w:szCs w:val="28"/>
        </w:rPr>
        <w:t>去(106)年消費者經由社群網站(</w:t>
      </w:r>
      <w:proofErr w:type="gramStart"/>
      <w:r w:rsidRPr="00C17C71">
        <w:rPr>
          <w:rFonts w:ascii="標楷體" w:eastAsia="標楷體" w:hAnsi="標楷體" w:hint="eastAsia"/>
          <w:sz w:val="28"/>
          <w:szCs w:val="28"/>
        </w:rPr>
        <w:t>臉書及</w:t>
      </w:r>
      <w:proofErr w:type="gramEnd"/>
      <w:r w:rsidRPr="00C17C71">
        <w:rPr>
          <w:rFonts w:ascii="標楷體" w:eastAsia="標楷體" w:hAnsi="標楷體" w:hint="eastAsia"/>
          <w:sz w:val="28"/>
          <w:szCs w:val="28"/>
        </w:rPr>
        <w:t>LINE)廣告，以「貨到付款」方式網購境外商品，因賣家位於境外而無法有效處理的消費爭議案，計有986件。為此，行政院消保處召開多次會議，要求主管機關公路總局督促國內運輸業者，落實「運輸業管理規則」第118條規定，正確記載託運人相關資料(1.姓名2.詳細住址3.電話)，讓消費者能夠即時向託運人請求暫緩將款項支付境外業者，以減少損失。</w:t>
      </w:r>
    </w:p>
    <w:p w:rsidR="004371C0" w:rsidRDefault="004371C0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C17C71">
        <w:rPr>
          <w:rFonts w:ascii="標楷體" w:eastAsia="標楷體" w:hAnsi="標楷體" w:hint="eastAsia"/>
          <w:sz w:val="28"/>
          <w:szCs w:val="28"/>
        </w:rPr>
        <w:t>行政院消保處呼籲消費者，在網路上購買境外商品時，應注意下列事項：</w:t>
      </w:r>
    </w:p>
    <w:p w:rsidR="00C17C71" w:rsidRPr="00C17C71" w:rsidRDefault="004335A9" w:rsidP="00AC2B35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C17C71" w:rsidRPr="00C17C71">
        <w:rPr>
          <w:rFonts w:ascii="標楷體" w:eastAsia="標楷體" w:hAnsi="標楷體" w:hint="eastAsia"/>
          <w:sz w:val="28"/>
          <w:szCs w:val="28"/>
        </w:rPr>
        <w:t>慎選賣家</w:t>
      </w:r>
      <w:proofErr w:type="gramEnd"/>
      <w:r w:rsidR="00C17C71" w:rsidRPr="00C17C71">
        <w:rPr>
          <w:rFonts w:ascii="標楷體" w:eastAsia="標楷體" w:hAnsi="標楷體" w:hint="eastAsia"/>
          <w:sz w:val="28"/>
          <w:szCs w:val="28"/>
        </w:rPr>
        <w:t>，選擇有信譽的賣家，跨境爭議案件實務上處理不</w:t>
      </w:r>
      <w:r w:rsidR="00C17C71" w:rsidRPr="00C17C71">
        <w:rPr>
          <w:rFonts w:ascii="標楷體" w:eastAsia="標楷體" w:hAnsi="標楷體" w:hint="eastAsia"/>
          <w:sz w:val="28"/>
          <w:szCs w:val="28"/>
        </w:rPr>
        <w:lastRenderedPageBreak/>
        <w:t>易。</w:t>
      </w:r>
    </w:p>
    <w:p w:rsidR="00C17C71" w:rsidRPr="00C17C71" w:rsidRDefault="004335A9" w:rsidP="00AC2B35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C17C71" w:rsidRPr="00C17C71">
        <w:rPr>
          <w:rFonts w:ascii="標楷體" w:eastAsia="標楷體" w:hAnsi="標楷體" w:hint="eastAsia"/>
          <w:sz w:val="28"/>
          <w:szCs w:val="28"/>
        </w:rPr>
        <w:t>注意廣告內容，商品售價異常低廉，無法確認賣家身分，商品品質與規格不明確，</w:t>
      </w:r>
      <w:proofErr w:type="gramStart"/>
      <w:r w:rsidR="00C17C71" w:rsidRPr="00C17C71">
        <w:rPr>
          <w:rFonts w:ascii="標楷體" w:eastAsia="標楷體" w:hAnsi="標楷體" w:hint="eastAsia"/>
          <w:sz w:val="28"/>
          <w:szCs w:val="28"/>
        </w:rPr>
        <w:t>均應特別</w:t>
      </w:r>
      <w:proofErr w:type="gramEnd"/>
      <w:r w:rsidR="00C17C71" w:rsidRPr="00C17C71">
        <w:rPr>
          <w:rFonts w:ascii="標楷體" w:eastAsia="標楷體" w:hAnsi="標楷體" w:hint="eastAsia"/>
          <w:sz w:val="28"/>
          <w:szCs w:val="28"/>
        </w:rPr>
        <w:t>留意。</w:t>
      </w:r>
    </w:p>
    <w:p w:rsidR="003C55C5" w:rsidRPr="00C17C71" w:rsidRDefault="004335A9" w:rsidP="00AC2B35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3C55C5" w:rsidRPr="00C17C71">
        <w:rPr>
          <w:rFonts w:ascii="標楷體" w:eastAsia="標楷體" w:hAnsi="標楷體" w:hint="eastAsia"/>
          <w:sz w:val="28"/>
          <w:szCs w:val="28"/>
        </w:rPr>
        <w:t>考慮選擇以第三方支付方式付款之賣家。</w:t>
      </w: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9C2327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EB17FAE" wp14:editId="4A7BECE9">
            <wp:simplePos x="0" y="0"/>
            <wp:positionH relativeFrom="column">
              <wp:posOffset>-45720</wp:posOffset>
            </wp:positionH>
            <wp:positionV relativeFrom="paragraph">
              <wp:posOffset>19050</wp:posOffset>
            </wp:positionV>
            <wp:extent cx="6328410" cy="48590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485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AC2B35" w:rsidRDefault="00AC2B3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2C683A" w:rsidRDefault="002C683A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9C2327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A2264" wp14:editId="77A620BB">
                <wp:simplePos x="0" y="0"/>
                <wp:positionH relativeFrom="column">
                  <wp:posOffset>-46990</wp:posOffset>
                </wp:positionH>
                <wp:positionV relativeFrom="paragraph">
                  <wp:posOffset>40005</wp:posOffset>
                </wp:positionV>
                <wp:extent cx="6179820" cy="1165860"/>
                <wp:effectExtent l="38100" t="95250" r="106680" b="533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schemeClr val="bg2">
                              <a:lumMod val="90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38E" w:rsidRPr="009C2327" w:rsidRDefault="00FF538E" w:rsidP="009C2327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9C232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檢舉專線：</w:t>
                            </w:r>
                          </w:p>
                          <w:p w:rsidR="00FF538E" w:rsidRPr="009C2327" w:rsidRDefault="00FF538E" w:rsidP="009C2327">
                            <w:pPr>
                              <w:spacing w:line="320" w:lineRule="exact"/>
                              <w:ind w:left="480" w:hangingChars="200" w:hanging="480"/>
                              <w:rPr>
                                <w:rFonts w:ascii="標楷體" w:eastAsia="標楷體" w:hAnsi="標楷體"/>
                                <w:b/>
                                <w:color w:val="0070C0"/>
                              </w:rPr>
                            </w:pPr>
                            <w:r w:rsidRPr="009C2327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一、法務部廉政署，電話為「0800-286-586」(0800-</w:t>
                            </w:r>
                            <w:proofErr w:type="gramStart"/>
                            <w:r w:rsidRPr="009C2327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你爆料</w:t>
                            </w:r>
                            <w:proofErr w:type="gramEnd"/>
                            <w:r w:rsidRPr="009C2327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-</w:t>
                            </w:r>
                            <w:proofErr w:type="gramStart"/>
                            <w:r w:rsidRPr="009C2327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我爆料</w:t>
                            </w:r>
                            <w:proofErr w:type="gramEnd"/>
                            <w:r w:rsidRPr="009C2327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)；專用郵政信箱為「10099 國史館郵局第153號信箱」；傳真專線為「02-2381-1234」；電子郵件信箱為「gechief-mail.moj.gov.tw」。</w:t>
                            </w:r>
                          </w:p>
                          <w:p w:rsidR="00FF538E" w:rsidRPr="009C2327" w:rsidRDefault="00FF538E" w:rsidP="009C2327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0070C0"/>
                              </w:rPr>
                            </w:pPr>
                            <w:r w:rsidRPr="009C2327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二、本會廉政檢舉電話02-23974981、傳真：(02)2397-4982、電子郵件:ftcdac@ftc.gov.tw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-3.7pt;margin-top:3.15pt;width:486.6pt;height:91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" fillcolor="white [3201]" strokeweight=".5pt">
                <v:stroke linestyle="thinThin"/>
                <v:shadow on="t" color="#ddd8c2 [2894]" opacity="26214f" origin="-.5,.5" offset=".74836mm,-.74836mm"/>
                <v:textbox>
                  <w:txbxContent>
                    <w:p w:rsidR="00FF538E" w:rsidRPr="009C2327" w:rsidRDefault="00FF538E" w:rsidP="009C2327">
                      <w:pPr>
                        <w:spacing w:line="320" w:lineRule="exact"/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</w:pPr>
                      <w:r w:rsidRPr="009C2327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檢舉專線</w:t>
                      </w:r>
                      <w:r w:rsidRPr="009C2327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：</w:t>
                      </w:r>
                    </w:p>
                    <w:p w:rsidR="00FF538E" w:rsidRPr="009C2327" w:rsidRDefault="00FF538E" w:rsidP="009C2327">
                      <w:pPr>
                        <w:spacing w:line="320" w:lineRule="exact"/>
                        <w:ind w:left="480" w:hangingChars="200" w:hanging="480"/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</w:pPr>
                      <w:r w:rsidRPr="009C2327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一、</w:t>
                      </w:r>
                      <w:r w:rsidRPr="009C2327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法務部廉政署，電話為「0800-286-586」(0800-</w:t>
                      </w:r>
                      <w:proofErr w:type="gramStart"/>
                      <w:r w:rsidRPr="009C2327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你爆料</w:t>
                      </w:r>
                      <w:proofErr w:type="gramEnd"/>
                      <w:r w:rsidRPr="009C2327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-</w:t>
                      </w:r>
                      <w:proofErr w:type="gramStart"/>
                      <w:r w:rsidRPr="009C2327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我爆料</w:t>
                      </w:r>
                      <w:proofErr w:type="gramEnd"/>
                      <w:r w:rsidRPr="009C2327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)</w:t>
                      </w:r>
                      <w:r w:rsidRPr="009C2327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；</w:t>
                      </w:r>
                      <w:r w:rsidRPr="009C2327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專用郵政信箱為「10099 國史館郵局第153號信箱」</w:t>
                      </w:r>
                      <w:r w:rsidRPr="009C2327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；</w:t>
                      </w:r>
                      <w:r w:rsidRPr="009C2327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傳真專線為「02-2381-1234」</w:t>
                      </w:r>
                      <w:r w:rsidRPr="009C2327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；</w:t>
                      </w:r>
                      <w:r w:rsidRPr="009C2327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電子郵件信箱為「gechief-mail.moj.gov.tw」。</w:t>
                      </w:r>
                    </w:p>
                    <w:p w:rsidR="00FF538E" w:rsidRPr="009C2327" w:rsidRDefault="00FF538E" w:rsidP="009C2327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color w:val="0070C0"/>
                        </w:rPr>
                      </w:pPr>
                      <w:r w:rsidRPr="009C2327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二、</w:t>
                      </w:r>
                      <w:r w:rsidRPr="009C2327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本會廉政檢舉電話02-23974981、傳真：(02)2397-4982、電子郵件:ftcdac@ftc.gov.tw</w:t>
                      </w:r>
                    </w:p>
                  </w:txbxContent>
                </v:textbox>
              </v:shape>
            </w:pict>
          </mc:Fallback>
        </mc:AlternateContent>
      </w: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AC2B35" w:rsidRDefault="00AC2B3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3C55C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3C55C5" w:rsidRDefault="004335A9" w:rsidP="00AC2B35">
      <w:pPr>
        <w:spacing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(四)</w:t>
      </w:r>
      <w:r w:rsidR="003C55C5" w:rsidRPr="00C17C71">
        <w:rPr>
          <w:rFonts w:ascii="標楷體" w:eastAsia="標楷體" w:hAnsi="標楷體" w:hint="eastAsia"/>
          <w:sz w:val="28"/>
          <w:szCs w:val="28"/>
        </w:rPr>
        <w:t>發生爭議時，應立即向託運人(國內清關行)及運輸業者反映及申訴，讓業者掌握時效，協助處理或暫緩付款給境外公司。</w:t>
      </w:r>
    </w:p>
    <w:p w:rsidR="00AC2B35" w:rsidRDefault="00AC2B35" w:rsidP="003C55C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4371C0" w:rsidRPr="00AC2B35" w:rsidRDefault="00C17C71" w:rsidP="00C17C71">
      <w:pPr>
        <w:spacing w:line="36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AC2B35">
        <w:rPr>
          <w:rFonts w:ascii="標楷體" w:eastAsia="標楷體" w:hAnsi="標楷體" w:hint="eastAsia"/>
          <w:b/>
          <w:color w:val="FF0000"/>
          <w:sz w:val="28"/>
          <w:szCs w:val="28"/>
        </w:rPr>
        <w:t>肆、其他</w:t>
      </w:r>
    </w:p>
    <w:p w:rsidR="004371C0" w:rsidRDefault="004371C0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4371C0">
        <w:rPr>
          <w:rFonts w:ascii="標楷體" w:eastAsia="標楷體" w:hAnsi="標楷體" w:hint="eastAsia"/>
          <w:sz w:val="28"/>
          <w:szCs w:val="28"/>
        </w:rPr>
        <w:t>「CI</w:t>
      </w:r>
      <w:r w:rsidR="009C2327" w:rsidRPr="009C2327">
        <w:rPr>
          <w:rFonts w:ascii="標楷體" w:eastAsia="標楷體" w:hAnsi="標楷體" w:hint="eastAsia"/>
          <w:sz w:val="28"/>
          <w:szCs w:val="28"/>
        </w:rPr>
        <w:t>(國家關鍵基礎建設Critical Infrastructures)</w:t>
      </w:r>
      <w:r w:rsidR="009C2327">
        <w:rPr>
          <w:rFonts w:ascii="標楷體" w:eastAsia="標楷體" w:hAnsi="標楷體" w:hint="eastAsia"/>
          <w:sz w:val="28"/>
          <w:szCs w:val="28"/>
        </w:rPr>
        <w:t>防</w:t>
      </w:r>
      <w:r w:rsidRPr="004371C0">
        <w:rPr>
          <w:rFonts w:ascii="標楷體" w:eastAsia="標楷體" w:hAnsi="標楷體" w:hint="eastAsia"/>
          <w:sz w:val="28"/>
          <w:szCs w:val="28"/>
        </w:rPr>
        <w:t>護SOP」漫畫</w:t>
      </w:r>
    </w:p>
    <w:p w:rsidR="004371C0" w:rsidRDefault="004371C0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4371C0" w:rsidRDefault="004371C0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4371C0" w:rsidRDefault="004371C0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4371C0" w:rsidRDefault="004371C0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4371C0" w:rsidRDefault="004371C0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4371C0" w:rsidRDefault="004371C0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4371C0" w:rsidRDefault="004371C0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4371C0" w:rsidRDefault="004371C0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C17C71" w:rsidRDefault="00C17C71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4371C0" w:rsidRDefault="004371C0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Pr="009A7219" w:rsidRDefault="009A7219" w:rsidP="00C17C71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9A7219">
        <w:rPr>
          <w:rFonts w:ascii="標楷體" w:eastAsia="標楷體" w:hAnsi="標楷體" w:hint="eastAsia"/>
          <w:szCs w:val="24"/>
        </w:rPr>
        <w:t>本文摘自</w:t>
      </w:r>
      <w:r w:rsidR="00926207">
        <w:rPr>
          <w:rFonts w:ascii="標楷體" w:eastAsia="標楷體" w:hAnsi="標楷體" w:hint="eastAsia"/>
          <w:szCs w:val="24"/>
        </w:rPr>
        <w:t>調查局</w:t>
      </w:r>
      <w:r w:rsidRPr="009A7219">
        <w:rPr>
          <w:rFonts w:ascii="標楷體" w:eastAsia="標楷體" w:hAnsi="標楷體" w:hint="eastAsia"/>
          <w:szCs w:val="24"/>
        </w:rPr>
        <w:t>107年</w:t>
      </w:r>
      <w:r w:rsidR="00522FDB">
        <w:rPr>
          <w:rFonts w:ascii="標楷體" w:eastAsia="標楷體" w:hAnsi="標楷體" w:hint="eastAsia"/>
          <w:szCs w:val="24"/>
        </w:rPr>
        <w:t>3</w:t>
      </w:r>
      <w:r w:rsidRPr="009A7219">
        <w:rPr>
          <w:rFonts w:ascii="標楷體" w:eastAsia="標楷體" w:hAnsi="標楷體" w:hint="eastAsia"/>
          <w:szCs w:val="24"/>
        </w:rPr>
        <w:t>月號清流</w:t>
      </w:r>
      <w:r w:rsidR="00522FDB">
        <w:rPr>
          <w:rFonts w:ascii="標楷體" w:eastAsia="標楷體" w:hAnsi="標楷體" w:hint="eastAsia"/>
          <w:szCs w:val="24"/>
        </w:rPr>
        <w:t>雙</w:t>
      </w:r>
      <w:r w:rsidRPr="009A7219">
        <w:rPr>
          <w:rFonts w:ascii="標楷體" w:eastAsia="標楷體" w:hAnsi="標楷體" w:hint="eastAsia"/>
          <w:szCs w:val="24"/>
        </w:rPr>
        <w:t>月刊</w:t>
      </w:r>
    </w:p>
    <w:p w:rsidR="009A7219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Pr="009C2327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A7219" w:rsidRDefault="009A7219" w:rsidP="00C17C7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9A7219" w:rsidSect="000D3AC3">
      <w:footerReference w:type="default" r:id="rId12"/>
      <w:pgSz w:w="11906" w:h="16838"/>
      <w:pgMar w:top="1701" w:right="1418" w:bottom="1440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A2" w:rsidRDefault="00FF0EA2" w:rsidP="00255400">
      <w:r>
        <w:separator/>
      </w:r>
    </w:p>
  </w:endnote>
  <w:endnote w:type="continuationSeparator" w:id="0">
    <w:p w:rsidR="00FF0EA2" w:rsidRDefault="00FF0EA2" w:rsidP="002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599915"/>
      <w:docPartObj>
        <w:docPartGallery w:val="Page Numbers (Bottom of Page)"/>
        <w:docPartUnique/>
      </w:docPartObj>
    </w:sdtPr>
    <w:sdtEndPr/>
    <w:sdtContent>
      <w:p w:rsidR="00255400" w:rsidRDefault="002554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034" w:rsidRPr="009B6034">
          <w:rPr>
            <w:noProof/>
            <w:lang w:val="zh-TW"/>
          </w:rPr>
          <w:t>1</w:t>
        </w:r>
        <w:r>
          <w:fldChar w:fldCharType="end"/>
        </w:r>
      </w:p>
    </w:sdtContent>
  </w:sdt>
  <w:p w:rsidR="00255400" w:rsidRDefault="002554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A2" w:rsidRDefault="00FF0EA2" w:rsidP="00255400">
      <w:r>
        <w:separator/>
      </w:r>
    </w:p>
  </w:footnote>
  <w:footnote w:type="continuationSeparator" w:id="0">
    <w:p w:rsidR="00FF0EA2" w:rsidRDefault="00FF0EA2" w:rsidP="0025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376B"/>
    <w:multiLevelType w:val="hybridMultilevel"/>
    <w:tmpl w:val="5E58E6A0"/>
    <w:lvl w:ilvl="0" w:tplc="344802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6A0DF4"/>
    <w:multiLevelType w:val="hybridMultilevel"/>
    <w:tmpl w:val="F9AAA4BE"/>
    <w:lvl w:ilvl="0" w:tplc="96885122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D415E5"/>
    <w:multiLevelType w:val="hybridMultilevel"/>
    <w:tmpl w:val="4D426FC6"/>
    <w:lvl w:ilvl="0" w:tplc="6E8682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9B2917"/>
    <w:multiLevelType w:val="hybridMultilevel"/>
    <w:tmpl w:val="F110B2C6"/>
    <w:lvl w:ilvl="0" w:tplc="665897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336DAD"/>
    <w:multiLevelType w:val="hybridMultilevel"/>
    <w:tmpl w:val="A38811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49"/>
    <w:rsid w:val="000D3AC3"/>
    <w:rsid w:val="001D3BE6"/>
    <w:rsid w:val="00255400"/>
    <w:rsid w:val="00293DAC"/>
    <w:rsid w:val="002B4D84"/>
    <w:rsid w:val="002C683A"/>
    <w:rsid w:val="00322AB1"/>
    <w:rsid w:val="003804D5"/>
    <w:rsid w:val="003C55C5"/>
    <w:rsid w:val="004335A9"/>
    <w:rsid w:val="004371C0"/>
    <w:rsid w:val="004D1249"/>
    <w:rsid w:val="00522FDB"/>
    <w:rsid w:val="005449E1"/>
    <w:rsid w:val="0058450E"/>
    <w:rsid w:val="00622577"/>
    <w:rsid w:val="006A5067"/>
    <w:rsid w:val="007018E1"/>
    <w:rsid w:val="00783006"/>
    <w:rsid w:val="007E0B4D"/>
    <w:rsid w:val="008134E4"/>
    <w:rsid w:val="00926207"/>
    <w:rsid w:val="009A7219"/>
    <w:rsid w:val="009B6034"/>
    <w:rsid w:val="009B6F14"/>
    <w:rsid w:val="009C2327"/>
    <w:rsid w:val="009F05D2"/>
    <w:rsid w:val="00A84344"/>
    <w:rsid w:val="00AC2B35"/>
    <w:rsid w:val="00AC325D"/>
    <w:rsid w:val="00BF5C1E"/>
    <w:rsid w:val="00C17C71"/>
    <w:rsid w:val="00C5280A"/>
    <w:rsid w:val="00DE6383"/>
    <w:rsid w:val="00F014DE"/>
    <w:rsid w:val="00FF0EA2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24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84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45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54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5400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2C683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2C683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C68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24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84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45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54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5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5400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2C683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2C683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C6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1944-2D03-47B1-A922-5AD9C962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白昭豊</dc:creator>
  <cp:lastModifiedBy>林忠義</cp:lastModifiedBy>
  <cp:revision>2</cp:revision>
  <dcterms:created xsi:type="dcterms:W3CDTF">2018-05-02T01:50:00Z</dcterms:created>
  <dcterms:modified xsi:type="dcterms:W3CDTF">2018-05-02T01:50:00Z</dcterms:modified>
</cp:coreProperties>
</file>